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6148" w14:textId="77777777" w:rsidR="00152530" w:rsidRDefault="00152530" w:rsidP="00152530">
      <w:pPr>
        <w:jc w:val="center"/>
      </w:pPr>
      <w:r>
        <w:t>年末年始の海外渡航者に対する感染症予防啓発について</w:t>
      </w:r>
    </w:p>
    <w:p w14:paraId="402C898D" w14:textId="77777777" w:rsidR="00152530" w:rsidRDefault="00152530" w:rsidP="00152530">
      <w:pPr>
        <w:jc w:val="center"/>
        <w:rPr>
          <w:rFonts w:hint="eastAsia"/>
        </w:rPr>
      </w:pPr>
    </w:p>
    <w:p w14:paraId="50242208" w14:textId="7AFAB0C6" w:rsidR="00152530" w:rsidRDefault="00152530" w:rsidP="00152530">
      <w:pPr>
        <w:ind w:firstLineChars="100" w:firstLine="210"/>
      </w:pPr>
      <w:r>
        <w:t>今後、年末年始を控え、人の移動が増加することが予想されます。</w:t>
      </w:r>
    </w:p>
    <w:p w14:paraId="38914EEA" w14:textId="64CA477B" w:rsidR="00991745" w:rsidRDefault="00152530">
      <w:r>
        <w:t xml:space="preserve"> </w:t>
      </w:r>
      <w:r>
        <w:t xml:space="preserve"> </w:t>
      </w:r>
      <w:r>
        <w:t>海外では、我が国に常在しない感染症や我が国よりも高い頻度で発生している感染症が報告されており、海外滞在中にこれらの感染症への感染を防止するためには、海外渡航者に対してその予防方法等の情報を周知することが重要です。このため、厚生労働省では、ポスターやリーフレットを用いた海外で発生している感染症の予防に関する注意喚起を各検疫所で実施するとともに、下記ホームページやＳＮＳを通して国民向けに情報提供を行っております。</w:t>
      </w:r>
    </w:p>
    <w:p w14:paraId="0F6D2AB2" w14:textId="77777777" w:rsidR="00152530" w:rsidRDefault="00152530"/>
    <w:p w14:paraId="0BAEA46B" w14:textId="77777777" w:rsidR="00152530" w:rsidRDefault="00152530" w:rsidP="00152530">
      <w:pPr>
        <w:pStyle w:val="a3"/>
        <w:rPr>
          <w:rFonts w:hint="eastAsia"/>
        </w:rPr>
      </w:pPr>
      <w:r>
        <w:rPr>
          <w:rFonts w:hint="eastAsia"/>
        </w:rPr>
        <w:t>記</w:t>
      </w:r>
    </w:p>
    <w:p w14:paraId="45E6440F" w14:textId="77777777" w:rsidR="00152530" w:rsidRDefault="00152530" w:rsidP="00152530"/>
    <w:p w14:paraId="6AE9F415" w14:textId="681C3541" w:rsidR="00152530" w:rsidRDefault="00152530" w:rsidP="00152530">
      <w:r>
        <w:rPr>
          <w:rFonts w:hint="eastAsia"/>
        </w:rPr>
        <w:t>■厚生労働省検疫所ホームページＦＯＲＴＨ（For</w:t>
      </w:r>
      <w:r>
        <w:t xml:space="preserve"> </w:t>
      </w:r>
      <w:proofErr w:type="spellStart"/>
      <w:r>
        <w:rPr>
          <w:rFonts w:hint="eastAsia"/>
        </w:rPr>
        <w:t>Travelers</w:t>
      </w:r>
      <w:r>
        <w:t>’</w:t>
      </w:r>
      <w:r>
        <w:rPr>
          <w:rFonts w:hint="eastAsia"/>
        </w:rPr>
        <w:t>Health</w:t>
      </w:r>
      <w:proofErr w:type="spellEnd"/>
      <w:r>
        <w:rPr>
          <w:rFonts w:hint="eastAsia"/>
        </w:rPr>
        <w:t>）</w:t>
      </w:r>
    </w:p>
    <w:p w14:paraId="6C340715" w14:textId="33ABA5A5" w:rsidR="00152530" w:rsidRDefault="00152530" w:rsidP="00152530">
      <w:pPr>
        <w:pStyle w:val="Default"/>
        <w:rPr>
          <w:sz w:val="23"/>
          <w:szCs w:val="23"/>
        </w:rPr>
      </w:pPr>
      <w:hyperlink r:id="rId4" w:history="1">
        <w:r w:rsidRPr="003D5427">
          <w:rPr>
            <w:rStyle w:val="a7"/>
            <w:sz w:val="23"/>
            <w:szCs w:val="23"/>
          </w:rPr>
          <w:t>https://www.forth.go.jp/index.html</w:t>
        </w:r>
      </w:hyperlink>
    </w:p>
    <w:p w14:paraId="69900F86" w14:textId="77777777" w:rsidR="00152530" w:rsidRDefault="00152530" w:rsidP="00152530">
      <w:pPr>
        <w:rPr>
          <w:rFonts w:hint="eastAsia"/>
        </w:rPr>
      </w:pPr>
    </w:p>
    <w:p w14:paraId="4BE12BB7" w14:textId="1762D4E7" w:rsidR="00152530" w:rsidRDefault="00152530" w:rsidP="00152530">
      <w:r>
        <w:rPr>
          <w:rFonts w:hint="eastAsia"/>
        </w:rPr>
        <w:t>■厚生労働省ホームページ「海外へ渡航される皆様へ」</w:t>
      </w:r>
    </w:p>
    <w:p w14:paraId="7F85FFD6" w14:textId="705E52A8" w:rsidR="00152530" w:rsidRDefault="00152530" w:rsidP="00152530">
      <w:pPr>
        <w:rPr>
          <w:sz w:val="23"/>
          <w:szCs w:val="23"/>
        </w:rPr>
      </w:pPr>
      <w:hyperlink r:id="rId5" w:history="1">
        <w:r w:rsidRPr="003D5427">
          <w:rPr>
            <w:rStyle w:val="a7"/>
            <w:sz w:val="23"/>
            <w:szCs w:val="23"/>
          </w:rPr>
          <w:t>https://www.mhlw.go.jp/stf/seisakunitsuite/bunya/kenkou_iryou/kenkou/kekkaku-kansenshou18/index_00003.html</w:t>
        </w:r>
      </w:hyperlink>
    </w:p>
    <w:p w14:paraId="77C56E25" w14:textId="77777777" w:rsidR="00152530" w:rsidRDefault="00152530" w:rsidP="00152530">
      <w:pPr>
        <w:rPr>
          <w:rFonts w:hint="eastAsia"/>
        </w:rPr>
      </w:pPr>
    </w:p>
    <w:p w14:paraId="1022043D" w14:textId="075F29BF" w:rsidR="00152530" w:rsidRDefault="00152530" w:rsidP="00152530">
      <w:r>
        <w:rPr>
          <w:rFonts w:hint="eastAsia"/>
        </w:rPr>
        <w:t>■厚生労働省ホームページ「啓発ツール」</w:t>
      </w:r>
    </w:p>
    <w:p w14:paraId="3DDA52F9" w14:textId="41E003BE" w:rsidR="00152530" w:rsidRDefault="00152530" w:rsidP="00152530">
      <w:pPr>
        <w:rPr>
          <w:sz w:val="23"/>
          <w:szCs w:val="23"/>
        </w:rPr>
      </w:pPr>
      <w:hyperlink r:id="rId6" w:history="1">
        <w:r w:rsidRPr="003D5427">
          <w:rPr>
            <w:rStyle w:val="a7"/>
            <w:sz w:val="23"/>
            <w:szCs w:val="23"/>
          </w:rPr>
          <w:t>https://www.mhlw.go.jp/stf/seisakunitsuite/bunya/kenkou_iryou/kenkou/kekkaku-kansenshou18/index_00003_keihatsu-tools.html</w:t>
        </w:r>
      </w:hyperlink>
    </w:p>
    <w:p w14:paraId="5900D61F" w14:textId="75C57F29" w:rsidR="00152530" w:rsidRDefault="00152530" w:rsidP="00152530">
      <w:pPr>
        <w:rPr>
          <w:rFonts w:hint="eastAsia"/>
        </w:rPr>
      </w:pPr>
      <w:r>
        <w:rPr>
          <w:rFonts w:hint="eastAsia"/>
        </w:rPr>
        <w:t>※海外渡航者向けポスター・リーフレットを掲載しています。</w:t>
      </w:r>
    </w:p>
    <w:p w14:paraId="5C7D438F" w14:textId="6E5BDE35" w:rsidR="00152530" w:rsidRPr="00152530" w:rsidRDefault="00152530" w:rsidP="00152530">
      <w:pPr>
        <w:pStyle w:val="a5"/>
      </w:pPr>
    </w:p>
    <w:p w14:paraId="1CE80258" w14:textId="77777777" w:rsidR="00152530" w:rsidRPr="00152530" w:rsidRDefault="00152530" w:rsidP="00152530">
      <w:pPr>
        <w:rPr>
          <w:rFonts w:hint="eastAsia"/>
        </w:rPr>
      </w:pPr>
    </w:p>
    <w:sectPr w:rsidR="00152530" w:rsidRPr="001525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30"/>
    <w:rsid w:val="00152530"/>
    <w:rsid w:val="006676DF"/>
    <w:rsid w:val="00991745"/>
    <w:rsid w:val="00A2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686FB"/>
  <w15:chartTrackingRefBased/>
  <w15:docId w15:val="{6F4B0D8A-35D9-463C-9C44-D2D75D4D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2530"/>
    <w:pPr>
      <w:jc w:val="center"/>
    </w:pPr>
  </w:style>
  <w:style w:type="character" w:customStyle="1" w:styleId="a4">
    <w:name w:val="記 (文字)"/>
    <w:basedOn w:val="a0"/>
    <w:link w:val="a3"/>
    <w:uiPriority w:val="99"/>
    <w:rsid w:val="00152530"/>
    <w:rPr>
      <w:rFonts w:ascii="ＭＳ 明朝" w:eastAsia="ＭＳ 明朝" w:hAnsi="ＭＳ 明朝"/>
    </w:rPr>
  </w:style>
  <w:style w:type="paragraph" w:styleId="a5">
    <w:name w:val="Closing"/>
    <w:basedOn w:val="a"/>
    <w:link w:val="a6"/>
    <w:uiPriority w:val="99"/>
    <w:unhideWhenUsed/>
    <w:rsid w:val="00152530"/>
    <w:pPr>
      <w:jc w:val="right"/>
    </w:pPr>
  </w:style>
  <w:style w:type="character" w:customStyle="1" w:styleId="a6">
    <w:name w:val="結語 (文字)"/>
    <w:basedOn w:val="a0"/>
    <w:link w:val="a5"/>
    <w:uiPriority w:val="99"/>
    <w:rsid w:val="00152530"/>
    <w:rPr>
      <w:rFonts w:ascii="ＭＳ 明朝" w:eastAsia="ＭＳ 明朝" w:hAnsi="ＭＳ 明朝"/>
    </w:rPr>
  </w:style>
  <w:style w:type="paragraph" w:customStyle="1" w:styleId="Default">
    <w:name w:val="Default"/>
    <w:rsid w:val="00152530"/>
    <w:pPr>
      <w:widowControl w:val="0"/>
      <w:autoSpaceDE w:val="0"/>
      <w:autoSpaceDN w:val="0"/>
      <w:adjustRightInd w:val="0"/>
    </w:pPr>
    <w:rPr>
      <w:rFonts w:ascii="Times New Roman" w:hAnsi="Times New Roman" w:cs="Times New Roman"/>
      <w:color w:val="000000"/>
      <w:kern w:val="0"/>
      <w:sz w:val="24"/>
      <w:szCs w:val="24"/>
    </w:rPr>
  </w:style>
  <w:style w:type="character" w:styleId="a7">
    <w:name w:val="Hyperlink"/>
    <w:basedOn w:val="a0"/>
    <w:uiPriority w:val="99"/>
    <w:unhideWhenUsed/>
    <w:rsid w:val="00152530"/>
    <w:rPr>
      <w:color w:val="0563C1" w:themeColor="hyperlink"/>
      <w:u w:val="single"/>
    </w:rPr>
  </w:style>
  <w:style w:type="character" w:styleId="a8">
    <w:name w:val="Unresolved Mention"/>
    <w:basedOn w:val="a0"/>
    <w:uiPriority w:val="99"/>
    <w:semiHidden/>
    <w:unhideWhenUsed/>
    <w:rsid w:val="0015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https://www.forth.go.jp/index.html" TargetMode="External" Type="http://schemas.openxmlformats.org/officeDocument/2006/relationships/hyperlink"/><Relationship Id="rId5" Target="https://www.mhlw.go.jp/stf/seisakunitsuite/bunya/kenkou_iryou/kenkou/kekkaku-kansenshou18/index_00003.html" TargetMode="External" Type="http://schemas.openxmlformats.org/officeDocument/2006/relationships/hyperlink"/><Relationship Id="rId6" Target="https://www.mhlw.go.jp/stf/seisakunitsuite/bunya/kenkou_iryou/kenkou/kekkaku-kansenshou18/index_00003_keihatsu-tools.html"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143</Words>
  <Characters>820</Characters>
  <DocSecurity>0</DocSecurity>
  <Lines>6</Lines>
  <Paragraphs>1</Paragraphs>
  <ScaleCrop>false</ScaleCrop>
  <LinksUpToDate>false</LinksUpToDate>
  <CharactersWithSpaces>962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